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94" w:rsidRDefault="00B36594" w:rsidP="00B36594">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IV</w:t>
      </w:r>
    </w:p>
    <w:p w:rsidR="00B36594" w:rsidRDefault="00B36594" w:rsidP="00B36594">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TERMO DE COLABORAÇÃO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bookmarkStart w:id="0" w:name="_GoBack"/>
      <w:bookmarkEnd w:id="0"/>
    </w:p>
    <w:p w:rsidR="00B36594" w:rsidRDefault="00B36594" w:rsidP="00B36594">
      <w:pPr>
        <w:pStyle w:val="i03centralizado12"/>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TERMO DE COLABORAÇÃO Nº XX/2022</w:t>
      </w:r>
    </w:p>
    <w:p w:rsidR="00B36594" w:rsidRDefault="00B36594" w:rsidP="00B36594">
      <w:pPr>
        <w:pStyle w:val="i25ementaalinhadodireitarecuocentralizado"/>
        <w:spacing w:before="160" w:beforeAutospacing="0" w:after="160" w:afterAutospacing="0"/>
        <w:ind w:left="5954" w:right="160"/>
        <w:jc w:val="both"/>
        <w:rPr>
          <w:rFonts w:ascii="Calibri" w:hAnsi="Calibri" w:cs="Calibri"/>
          <w:color w:val="000000"/>
          <w:sz w:val="27"/>
          <w:szCs w:val="27"/>
        </w:rPr>
      </w:pPr>
      <w:r>
        <w:rPr>
          <w:rFonts w:ascii="Calibri" w:hAnsi="Calibri" w:cs="Calibri"/>
          <w:color w:val="000000"/>
          <w:sz w:val="27"/>
          <w:szCs w:val="27"/>
        </w:rPr>
        <w:t>Que entre si celebram o DISTRITO FEDERAL, por meio da SECRETARIA DE ESTADO DE CULTURA E ECONOMIA CRIATIVA DO DISTRITO FEDERAL e a Organização da Sociedade Civil____________________________.</w:t>
      </w:r>
    </w:p>
    <w:p w:rsidR="00B36594" w:rsidRDefault="00B36594" w:rsidP="00B36594">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PROCESSO Nº 00150-00002515/2022-35</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O DISTRITO FEDERAL, por meio da SECRETARIA DE ESTADO DE CULTURA E ECONOMIA CRIATIVA DO DISTRITO FEDERAL, cuja delegação de competência foi outorgada pela publicação no Diário Oficial nº 238, em 16 de dezembro de 2010 pelo Decreto nº 32.598, capitulo VII, e atualizada pelo art. 39 do Decreto nº 39.610/2019, inscrita no Cadastro Nacional da Pessoa Jurídica - CNPJ sob o nº 03.658.028/0001-09, com sede no Setor Cultural da República, Área Cívica, Lote s/n Edifício da Biblioteca Nacional, DF, doravante denominada ADMINISTRAÇÃO PÚBLICA, neste ato representada por BARTOLOMEU RODRIGUES DA SILVA, na qualidade de Secretário de Estado, nomeado pelo Decreto de 20 de dezembro de 2019, e a Organização da Sociedade Civil ______________________, doravante denominada ORGANIZAÇÃO DA SOCIEDADE CIVIL, inscrita no CNPJ sob o nº ____________________, com sede </w:t>
      </w:r>
      <w:proofErr w:type="gramStart"/>
      <w:r>
        <w:rPr>
          <w:rFonts w:ascii="Calibri" w:hAnsi="Calibri" w:cs="Calibri"/>
          <w:color w:val="000000"/>
          <w:sz w:val="27"/>
          <w:szCs w:val="27"/>
        </w:rPr>
        <w:t>no(</w:t>
      </w:r>
      <w:proofErr w:type="gramEnd"/>
      <w:r>
        <w:rPr>
          <w:rFonts w:ascii="Calibri" w:hAnsi="Calibri" w:cs="Calibri"/>
          <w:color w:val="000000"/>
          <w:sz w:val="27"/>
          <w:szCs w:val="27"/>
        </w:rPr>
        <w:t>a) _________________________, neste ato representada por ______________________________,</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brasileiro</w:t>
      </w:r>
      <w:proofErr w:type="gramEnd"/>
      <w:r>
        <w:rPr>
          <w:rFonts w:ascii="Calibri" w:hAnsi="Calibri" w:cs="Calibri"/>
          <w:color w:val="000000"/>
          <w:sz w:val="27"/>
          <w:szCs w:val="27"/>
        </w:rPr>
        <w:t xml:space="preserve">(a), portador(a) do documento de identificação RG ______________ e inscrito(a) sob o Cadastro de Pessoas Físicas - CPF sob o nº ______________, residente na ______________________, que exerce a função de ______________________, resolvem celebrar este TERMO DE COLABORAÇÃO, regendo-se pelo disposto na Lei Nacional Complementar nº 101, de 4 de maio de 2000, nas leis orçamentárias do Distrito Federal, na Lei Nacional nº 13.019, de 31 de julho de 2014, respectivos </w:t>
      </w:r>
      <w:r>
        <w:rPr>
          <w:rFonts w:ascii="Calibri" w:hAnsi="Calibri" w:cs="Calibri"/>
          <w:color w:val="000000"/>
          <w:sz w:val="27"/>
          <w:szCs w:val="27"/>
        </w:rPr>
        <w:lastRenderedPageBreak/>
        <w:t>regulamentos e demais atos normativos aplicáveis, mediante as cláusulas seguintes: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PRIMEIRA – OBJETO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 Este instrumento tem por objetivo a realização do projeto: “BRASÍLIA - CAPITAL IBERO-AMERICANA DE CULTURAS”, que ocorrerá de julho de 2022 a fevereiro de 2023 e tem por objetivo: demonstrar o potencial cultural de Brasília, escolhida neste ano como Capital Ibero-Americana de Culturas, conforme detalhamento contido no Plano de Trabalho em anexo a este instrumento. Tendo como principais finalidades: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Ofertar programação cultural alinhada com a diversidade das identidades culturais da cidade;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1.1.2 Promover o intercâmbio cultural entre os artistas e entidades dos países da Ibero-América;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1.1.3 Realizar atividades formativas ligadas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cultura do Distrito Federal; e </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1.1.4 Dar visibilidade a manifestações culturais locais, que sejam reconhecidas como patrimônios imateriais locais, brasileiros e/ou da humanidade.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SEGUNDA – VALOR GLOBAL DA PARCERIA E DOTAÇÃO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2.1 Este instrumento envolve transferência de recursos financeiros da ADMINISTRAÇÃO PÚBLICA para a ORGANIZAÇÃO DA SOCIEDADE CIVIL, conforme cronograma de desembolso previsto no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2.2 O valor global dos recursos públicos da parceria é de R$ 1.000.000,00 (</w:t>
      </w:r>
      <w:proofErr w:type="gramStart"/>
      <w:r>
        <w:rPr>
          <w:rFonts w:ascii="Calibri" w:hAnsi="Calibri" w:cs="Calibri"/>
          <w:color w:val="000000"/>
          <w:sz w:val="27"/>
          <w:szCs w:val="27"/>
        </w:rPr>
        <w:t>Hum</w:t>
      </w:r>
      <w:proofErr w:type="gramEnd"/>
      <w:r>
        <w:rPr>
          <w:rFonts w:ascii="Calibri" w:hAnsi="Calibri" w:cs="Calibri"/>
          <w:color w:val="000000"/>
          <w:sz w:val="27"/>
          <w:szCs w:val="27"/>
        </w:rPr>
        <w:t> milhão de reais).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 A despesa correrá à conta da seguinte Dotação Orçamentária: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Unidade Orçamentária: 16.101;</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Programa de Trabalho: 13.392.6219.9075.0004 – Transferência de Recursos para Projetos Culturais</w:t>
      </w:r>
      <w:r>
        <w:rPr>
          <w:rFonts w:ascii="Calibri" w:hAnsi="Calibri" w:cs="Calibri"/>
          <w:color w:val="FF0000"/>
          <w:sz w:val="27"/>
          <w:szCs w:val="27"/>
        </w:rPr>
        <w:t>;</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Natureza da Despesa: 33.50.41;</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Fonte de Recursos: 100.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2.4. O empenho é de R$_________________, conforme Nota de Empenho nº ____, emitida em _________/2022, sob o evento </w:t>
      </w:r>
      <w:proofErr w:type="gramStart"/>
      <w:r>
        <w:rPr>
          <w:rFonts w:ascii="Calibri" w:hAnsi="Calibri" w:cs="Calibri"/>
          <w:color w:val="000000"/>
          <w:sz w:val="27"/>
          <w:szCs w:val="27"/>
        </w:rPr>
        <w:t>nº______ ,</w:t>
      </w:r>
      <w:proofErr w:type="gramEnd"/>
      <w:r>
        <w:rPr>
          <w:rFonts w:ascii="Calibri" w:hAnsi="Calibri" w:cs="Calibri"/>
          <w:color w:val="000000"/>
          <w:sz w:val="27"/>
          <w:szCs w:val="27"/>
        </w:rPr>
        <w:t xml:space="preserve"> na modalidade __________.</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TERCEIRA – PRAZO DE VIGÊNCIA E EFICÁCIA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3.1 Este instrumento terá vigência de 06 meses a partir da data de sua assinatura.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3.2 A vigência poderá ser alterada mediante termo aditivo, conforme consenso entre os partícipes, não devendo o período de prorrogação ser superior a 12 (doze) meses.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3.3 A vigência poderá ser alterada por prorrogação de ofício, quando a ADMINISTRAÇÃO PÚBLICA der causa a atraso na execução do objeto, limitada ao período do atraso. A prorrogação de ofício será formalizada nos autos mediante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 com comunicação à ORGANIZAÇÃO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3.4 A eficácia deste instrumento fica condicionada à publicação do seu extrato no Diário Oficial do Distrito Federal, a ser providenciada pela ADMINISTRAÇÃO PÚBLICA até 20 (vinte) dias após a assinatura.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QUARTA – LIBERAÇÃO DOS RECURSOS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O repasse de recursos obedecerá ao cronograma de desembolso, em consonância com o cronograma de execução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4.2 A liberação de recursos deverá ser anterior à data prevista para a realização da despesa, vedada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antecipação que estiver em desacordo com o cronograma de desembolso, conforme a natureza do objeto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Nas parcerias cuja duração exceda um ano, a liberação das parcelas está condicionada à apresentação da prestação de contas ao término de cada exercício.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QUINTA – CONTRAPARTIDA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5.1 Não </w:t>
      </w:r>
      <w:proofErr w:type="gramStart"/>
      <w:r>
        <w:rPr>
          <w:rFonts w:ascii="Calibri" w:hAnsi="Calibri" w:cs="Calibri"/>
          <w:color w:val="000000"/>
          <w:sz w:val="27"/>
          <w:szCs w:val="27"/>
        </w:rPr>
        <w:t>será</w:t>
      </w:r>
      <w:proofErr w:type="gramEnd"/>
      <w:r>
        <w:rPr>
          <w:rFonts w:ascii="Calibri" w:hAnsi="Calibri" w:cs="Calibri"/>
          <w:color w:val="000000"/>
          <w:sz w:val="27"/>
          <w:szCs w:val="27"/>
        </w:rPr>
        <w:t> exigida contrapartida da ORGANIZAÇÃO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SEXTA – RESPONSABILIDADES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6.1 ADMINISTRAÇÃO</w:t>
      </w:r>
      <w:proofErr w:type="gramEnd"/>
      <w:r>
        <w:rPr>
          <w:rFonts w:ascii="Calibri" w:hAnsi="Calibri" w:cs="Calibri"/>
          <w:color w:val="000000"/>
          <w:sz w:val="27"/>
          <w:szCs w:val="27"/>
        </w:rPr>
        <w:t xml:space="preserve"> PÚBLICA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6.1.1 Acompanhar a execução da parceria e zelar pelo cumprimento do disposto neste instrumento, na Lei Nacional nº 13.019/2014, no seu regulamento e nos demais atos normativos aplicáveis;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 Transferir à ORGANIZAÇÃO DA SOCIEDADE CIVIL os recursos financeiros da parceria, de acordo com o cronograma de desembolsos constante do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6.1.2.1 Emitir ofício ao Banco de Brasília S/A – BRB solicitando a abertura de conta bancária</w:t>
      </w:r>
      <w:proofErr w:type="gramStart"/>
      <w:r>
        <w:rPr>
          <w:rFonts w:ascii="Calibri" w:hAnsi="Calibri" w:cs="Calibri"/>
          <w:color w:val="000000"/>
          <w:sz w:val="27"/>
          <w:szCs w:val="27"/>
        </w:rPr>
        <w:t>, isenta</w:t>
      </w:r>
      <w:proofErr w:type="gramEnd"/>
      <w:r>
        <w:rPr>
          <w:rFonts w:ascii="Calibri" w:hAnsi="Calibri" w:cs="Calibri"/>
          <w:color w:val="000000"/>
          <w:sz w:val="27"/>
          <w:szCs w:val="27"/>
        </w:rPr>
        <w:t xml:space="preserve"> de tarifa, conforme art. 51 da Lei nº 13.019/2014, para o recebimento dos recursos;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6.1.2.2 Nas parcerias cuja duração exceda um ano, condicionar a liberação das parcelas à apresentação da prestação de contas anual;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6.1.2.3 Consultar o SIGGO, o CEPIM, para verificar se há ocorrência impeditiva, e realizar consulta aos sítios eletrônicos de verificação de regularidade fiscal, trabalhista e previdenciária, antes da liberação de cada parcela;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6.1.3 Assumir ou transferir a terceiro a responsabilidade pela execução do objeto da parceria, no caso de paralisação, de modo a evitar sua descontinuidade.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6.1.4 Divulgar o objeto da parceria nos termos da legislação e orientar a ORGANIZAÇÃO DA SOCIEDADE CIVIL sobre como fazê-lo, mediante procedimentos definidos conforme seu juízo de conveniência e oportunidade, incluída a seguinte forma: divulgação no site ou página da organização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6.1.5 Apreciar as solicitações apresentadas pela ORGANIZAÇÃO DA SOCIEDADE CIVIL no curso da execução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6.1.6 Orientar a ORGANIZAÇÃO DA SOCIEDADE CIVIL quanto à prestação de contas;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6.1.7 Analisar e julgar as contas apresentadas pela ORGANIZAÇÃO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6.2 ORGANIZAÇÃO</w:t>
      </w:r>
      <w:proofErr w:type="gramEnd"/>
      <w:r>
        <w:rPr>
          <w:rFonts w:ascii="Calibri" w:hAnsi="Calibri" w:cs="Calibri"/>
          <w:color w:val="000000"/>
          <w:sz w:val="27"/>
          <w:szCs w:val="27"/>
        </w:rPr>
        <w:t xml:space="preserve">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 Executar o objeto da parceria de acordo com o Plano de Trabalho, observado o disposto neste instrumento, na Lei Nacional nº 13.019/2014, no seu regulamento e nos demais atos normativos aplicáveis;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6.2.1.1 Com exceção dos compromissos assumidos pela ADMINISTRAÇÃO PÚBLICA neste instrumento, responsabilizar-se por todas as providências necessárias à adequada execução do objeto da parceria, inclusive: pela apresentação e aprovação do projeto nos mecanismos de mecenato, bem como pela prospecção de recursos, buscando compor recursos totais que viabilizem a plena realização do objeto: </w:t>
      </w:r>
      <w:proofErr w:type="spellStart"/>
      <w:proofErr w:type="gramStart"/>
      <w:r>
        <w:rPr>
          <w:rFonts w:ascii="Calibri" w:hAnsi="Calibri" w:cs="Calibri"/>
          <w:color w:val="000000"/>
          <w:sz w:val="27"/>
          <w:szCs w:val="27"/>
        </w:rPr>
        <w:t>bRASÍLIA</w:t>
      </w:r>
      <w:proofErr w:type="spellEnd"/>
      <w:proofErr w:type="gramEnd"/>
      <w:r>
        <w:rPr>
          <w:rFonts w:ascii="Calibri" w:hAnsi="Calibri" w:cs="Calibri"/>
          <w:color w:val="000000"/>
          <w:sz w:val="27"/>
          <w:szCs w:val="27"/>
        </w:rPr>
        <w:t xml:space="preserve"> - CAPITAL IBERO-AMERICANA DE CULTURAS, por meio de patrocínios e outras formas legalmente aceitas, podendo ser por meio de leis de fiscais no âmbito federal (Lei Rouanet - Pronac/Mecenato) ou distrital (Lei de Incentivo Cultural), ficando a OSC responsável pela gestão e execução efetiva de contratos de patrocínio e demais instrumentos jurídicos; obrigando-se a prestar contas dos valores captados nas respectivas instituições e entidades, cumprindo os termos da legislação aplicável; pela aquisição de bens necessários à execução do objeto, nos casos em que estiver comprovado que a locação seria mais onerosa e que há interesse da ADMINISTRAÇÃO PÚBLICA em utilizar tais bens após o término na parceria ou em doá-los para fins de atividades de interesse social do Distrito </w:t>
      </w:r>
      <w:r>
        <w:rPr>
          <w:rFonts w:ascii="Calibri" w:hAnsi="Calibri" w:cs="Calibri"/>
          <w:color w:val="000000"/>
          <w:sz w:val="27"/>
          <w:szCs w:val="27"/>
        </w:rPr>
        <w:lastRenderedPageBreak/>
        <w:t>Federal; atuar conforme as diretrizes executivas e artísticas estabelecidas pela Comissão Gestora designada pelo Coordenador Geral do objeto: BRASÍLIA - CAPITAL IBERO-AMERICANA DE CULTURAS cadastrar as atividades previstas, após a formulação e validação das mesmas; pela emissão de alvarás, pelo pagamento de ECAD e demais taxas administrativas;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6.2.2 Cumprir a contrapartida, quando houver;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6.2.3 Apresentar à ADMINISTRAÇÃO PÚBLICA o comprovante de abertura da conta bancária específica no Banco de Brasília S/A, isenta de tarifa bancária, destinada exclusivamente a receber e movimentar os recursos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6.2.4 Responsabilizar-se, exclusivamente, pelo gerenciamento administrativo e financeiro dos recursos recebidos, inclusive no que diz respeito às despesas de custeio, de investimento e de pessoal;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6.2.5 Na realização das compras e contratações de bens e serviços, adotar métodos usualmente utilizados pelo setor privado, zelando pela observância dos princípios da legalidade, da impessoalidade, da moralidade, da publicidade, da economicidade e da eficiência;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 Realizar a movimentação de recursos da parceria mediante transferência eletrônica sujeita a identificação do beneficiário final e realizar pagamentos por crédito na conta bancária dos fornecedores e prestadores de serviços, com uso de boleto bancário ou cheque nominal;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6.2.6.1 Utilizar o pagamento em espécie como medida excepcional, limitado a R$ 1.000,00 por operação, quando configurada peculiaridade relativa ao objeto da parceria ou ao território de determinada atividade ou projeto, desde que haja essa previsão no plano de trabalho ou tenha sido conferida autorização em decisão motivada do administrador público, a partir de solicitação formal;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6.2.6.2 No uso excepcional do pagamento em espécie, garantir que o conjunto das operações não exceda o percentual de um por cento do valor global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6.2.6.3 Utilizar o regime de reembolso como medida excepcional, a ser adotada mediante autorização em decisão motivada do administrador público, desde que esteja comprovado o crédito na conta bancária dos fornecedores ou prestadores de serviços, nos termos da Portaria nº 21/2020.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6.2.7 Solicitar à ADMINISTRAÇÃO PÚBLICA, caso seja de seu interesse, remanejamentos de recursos e o uso dos rendimentos de ativos </w:t>
      </w:r>
      <w:r>
        <w:rPr>
          <w:rFonts w:ascii="Calibri" w:hAnsi="Calibri" w:cs="Calibri"/>
          <w:color w:val="000000"/>
          <w:sz w:val="27"/>
          <w:szCs w:val="27"/>
        </w:rPr>
        <w:lastRenderedPageBreak/>
        <w:t>financeiros no objeto da parceria, indicando a consequente alteração no Plano de Trabalho, desde que ainda vigente este instrumento;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6.2.8 Responsabilizar-se, exclusivamente, pelo regular pagamento de todos os encargos trabalhistas, previdenciários, fiscais e comerciais relacionados à execução do objeto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6.2.9 Prestar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6.2.10 Realizar devolução de recursos quando receber notificação da ADMINISTRAÇÃO PÚBLICA com essa determinação;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6.2.11 Devolver à ADMINISTRAÇÃO PÚBLICA os saldos financeiros existentes após o término da parceria, inclusive os provenientes das receitas obtidas de </w:t>
      </w:r>
      <w:proofErr w:type="gramStart"/>
      <w:r>
        <w:rPr>
          <w:rFonts w:ascii="Calibri" w:hAnsi="Calibri" w:cs="Calibri"/>
          <w:color w:val="000000"/>
          <w:sz w:val="27"/>
          <w:szCs w:val="27"/>
        </w:rPr>
        <w:t>aplicações</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financeiras</w:t>
      </w:r>
      <w:proofErr w:type="gramEnd"/>
      <w:r>
        <w:rPr>
          <w:rFonts w:ascii="Calibri" w:hAnsi="Calibri" w:cs="Calibri"/>
          <w:color w:val="000000"/>
          <w:sz w:val="27"/>
          <w:szCs w:val="27"/>
        </w:rPr>
        <w:t>, no prazo improrrogável de 30 (trinta) dias, sob pena de imediata instauração de tomadas de contas especial;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6.2.12 Permitir o livre acesso dos agentes da ADMINISTRAÇÃO PÚBLICA, do controle interno e do Tribunal de Contas aos processos, aos documentos e às informações relacionadas à execução desta parceria, bem como aos locais de execução do objeto;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6.2.13 Manter a guarda dos documentos originais relativos à execução da parceria pelo prazo de dez anos, contado do dia útil subsequente ao da apresentação da prestação de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SÉTIMA – DESPESAS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 Poderão ser pagas com recursos da parceria as seguintes despesas: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7.1.1 Remuneração da equipe encarregada da execução do plano de trabalho, compreendendo as despesas com pagamentos de impostos, contribuições sociais, Fundo de Garantia por Tempo de Serviço - FGTS, férias, décimo terceiro salário, salários proporcionais, verbas rescisórias e demais encargos sociais e trabalhistas, alusivas ao período de vigência da parceria, conforme previsto no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7.1.2 Diárias referentes a deslocamento, hospedagem e alimentação, nos casos em que a execução da parceria o exija;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7.1.3 Custos indiretos necessários à execução do objeto, tais como internet, transporte, aluguel, telefone, taxas e tarifas, consumo de água e energia elétrica;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7.1.4 Bens de consumo, tais como alimentos (quando demonstrada a necessidade no plano de trabalho, de acordo com a natureza ou o território da atividade ou projeto), material de expediente, material pedagógico, produtos de limpeza, combustível e gás;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7.1.5 Aquisição de equipamentos e materiais permanentes essenciais à consecução do objeto e serviços de adequação de espaço físico, desde que necessários à instalação dos referidos equipamentos e materiais, conforme o disposto no plano de trabalho aprovado;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7.1.5.1 Como serviços de adequação de espaço físico, a execução de obras voltadas à promoção de acessibilidade para </w:t>
      </w:r>
      <w:proofErr w:type="gramStart"/>
      <w:r>
        <w:rPr>
          <w:rFonts w:ascii="Calibri" w:hAnsi="Calibri" w:cs="Calibri"/>
          <w:color w:val="000000"/>
          <w:sz w:val="27"/>
          <w:szCs w:val="27"/>
        </w:rPr>
        <w:t>pessoas com deficiência ou mobilidade reduzida e idosos</w:t>
      </w:r>
      <w:proofErr w:type="gramEnd"/>
      <w:r>
        <w:rPr>
          <w:rFonts w:ascii="Calibri" w:hAnsi="Calibri" w:cs="Calibri"/>
          <w:color w:val="000000"/>
          <w:sz w:val="27"/>
          <w:szCs w:val="27"/>
        </w:rPr>
        <w:t>;</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7.1.6 Contratação de serviços de terceiros, tais como limpeza, manutenção, segurança de instalações físicas, capacitação e treinamento, informática, design gráfico, desenvolvimento de softwares, contabilidade, auditoria e assessoria jurídica;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7.1.7 Outros tipos de despesa que se mostrarem indispensáveis para a execução do objeto.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pagamento de despesas com equipes de trabalho somente poderá ser autorizado quando demonstrado que tais valores: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7.2.1 Correspondem às atividades e aos valores constantes do plano de trabalho, observada a qualificação técnica adequada à execução da função a ser desempenhada;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7.2.2 São compatíveis com o valor de mercado da região onde atua a organização da sociedade civil e não ultrapassem o teto da remuneração do Poder Executivo distrital, de acordo com o plano de trabalho aprovado pela ADMINISTRAÇÃO PÚBLICA;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7.2.3 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7.2.4 Não estão sendo utilizados para remunerar cônjuge, companheiro ou parente, em linha reta ou colateral, por consanguinidade ou afinidade, até o segundo grau, 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Administrador, dirigente ou associado com poder de direção da organização da sociedade civil celebrante da parceria ou, nos casos de atuação em rede, executante;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Agente público com cargo em comissão ou função de confiança que esteja lotado na unidade responsável pela execução da parceria no órgão ou entidade pública; </w:t>
      </w:r>
      <w:proofErr w:type="gramStart"/>
      <w:r>
        <w:rPr>
          <w:rFonts w:ascii="Calibri" w:hAnsi="Calibri" w:cs="Calibri"/>
          <w:color w:val="000000"/>
          <w:sz w:val="27"/>
          <w:szCs w:val="27"/>
        </w:rPr>
        <w:t>ou</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Agente público cuja posição no órgão ou entidade pública distrital seja hierarquicamente superior à chefia da unidade responsável pela execução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Não poderão ser pagas com recursos da parceria as seguintes despesas: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7.3.1 Despesas com finalidade alheia ao objeto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7.3.2 Pagamento, a qualquer título, de servidor ou empregado público, salvo nas hipóteses previstas em lei específica ou na lei de diretrizes orçamentárias;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7.3.3 Pagamento de juros, multas e correção </w:t>
      </w:r>
      <w:proofErr w:type="gramStart"/>
      <w:r>
        <w:rPr>
          <w:rFonts w:ascii="Calibri" w:hAnsi="Calibri" w:cs="Calibri"/>
          <w:color w:val="000000"/>
          <w:sz w:val="27"/>
          <w:szCs w:val="27"/>
        </w:rPr>
        <w:t>monetária, inclusive referentes</w:t>
      </w:r>
      <w:proofErr w:type="gramEnd"/>
      <w:r>
        <w:rPr>
          <w:rFonts w:ascii="Calibri" w:hAnsi="Calibri" w:cs="Calibri"/>
          <w:color w:val="000000"/>
          <w:sz w:val="27"/>
          <w:szCs w:val="27"/>
        </w:rPr>
        <w:t xml:space="preserve"> a pagamentos ou recolhimentos fora do prazo, salvo quando as despesas tiverem sido causadas por atraso da administração pública na liberação de recursos;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7.3.4 Despesas com publicidade, salvo quando previstas no plano de trabalho como divulgação ou campanha de caráter educativo, informativo ou de orientação social, não podendo constar nomes, símbolos ou imagens que caracterizem promoção pessoal;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7.3.5 Pagamento de despesa cujo fato gerador tiver ocorrido em data anterior ao início da vigência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7.3.6 Pagamento de despesa em data posterior ao término da parceria, salvo quando o fato gerador da despesa tiver ocorrido durante a vigência do termo de fomento ou de colaboração.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OITAVA – ALTERAÇÃO DO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8.1 A ADMINISTRAÇÃO PÚBLICA poderá propor ou autorizar a alteração do Plano de Trabalho, desde que preservado o objeto, mediante justificativa prévia, por meio de termo aditivo ou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8.2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celebrado termo aditivo nas hipóteses de alteração do valor global da parceria e em outras situações em que a alteração for indispensável para o atendimento do interesse público.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8.2.1 A ADMINISTRAÇÃO PÚBLICA providenciará a publicação do extrato de termo aditivo no Diário Oficial do Distrito Federal.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8.2.2 Caso haja necessidade de termo aditivo com alteração do valor global da parceria, sua proposta deve ser realizada com antecedência mínima de trintas dias, devendo os acréscimos ou supressões atingir no máximo vinte e cinco por cento do valor global.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8.2.2.1 O percentual poderá ser superior caso se configure situação excepcional em que o administrador público ateste que a alteração é indispensável para o alcance do interesse público na execução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8.2.2.2 A variação inflacionária pode ser fundamento de solicitação da organização da sociedade civil de celebração de termo aditivo para alteração de valor global da parceria, desde que decorridos no mínimo doze meses da data de aprovação do plano de trabalho, com observância do Índice Nacional de Preços ao Consumidor Amplo - IPCA, apurado pelo Instituto Brasileiro de Geografia e Estatística - IBGE, conforme </w:t>
      </w:r>
      <w:proofErr w:type="gramStart"/>
      <w:r>
        <w:rPr>
          <w:rFonts w:ascii="Calibri" w:hAnsi="Calibri" w:cs="Calibri"/>
          <w:color w:val="000000"/>
          <w:sz w:val="27"/>
          <w:szCs w:val="27"/>
        </w:rPr>
        <w:t>o</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Decreto Distrital no 37.121, de 2016.</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8.3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editado termo de </w:t>
      </w:r>
      <w:proofErr w:type="spellStart"/>
      <w:r>
        <w:rPr>
          <w:rFonts w:ascii="Calibri" w:hAnsi="Calibri" w:cs="Calibri"/>
          <w:color w:val="000000"/>
          <w:sz w:val="27"/>
          <w:szCs w:val="27"/>
        </w:rPr>
        <w:t>apostilamento</w:t>
      </w:r>
      <w:proofErr w:type="spellEnd"/>
      <w:r>
        <w:rPr>
          <w:rFonts w:ascii="Calibri" w:hAnsi="Calibri" w:cs="Calibri"/>
          <w:color w:val="000000"/>
          <w:sz w:val="27"/>
          <w:szCs w:val="27"/>
        </w:rPr>
        <w:t xml:space="preserve"> pela ADMINISTRAÇÃO PÚBLICA quando necessária a indicação de crédito orçamentário de exercícios futuros e quando a organização da sociedade civil solicitar remanejamento de recursos ou alteração de itens do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8.3.1 O remanejamento de pequeno valor e a aplicação de rendimentos de ativos financeiros </w:t>
      </w:r>
      <w:proofErr w:type="gramStart"/>
      <w:r>
        <w:rPr>
          <w:rFonts w:ascii="Calibri" w:hAnsi="Calibri" w:cs="Calibri"/>
          <w:color w:val="000000"/>
          <w:sz w:val="27"/>
          <w:szCs w:val="27"/>
        </w:rPr>
        <w:t>poderão ser realizados</w:t>
      </w:r>
      <w:proofErr w:type="gramEnd"/>
      <w:r>
        <w:rPr>
          <w:rFonts w:ascii="Calibri" w:hAnsi="Calibri" w:cs="Calibri"/>
          <w:color w:val="000000"/>
          <w:sz w:val="27"/>
          <w:szCs w:val="27"/>
        </w:rPr>
        <w:t xml:space="preserve"> pela organização da sociedade civil no curso da parceria, com posterior comunicação à administração pública, desde que em benefício da execução do objeto, observados os procedimentos e limites estabelecidos pela ADMINISTRAÇÃO PÚBLICA na Portaria nº 21, de 23 de janeiro de 2020.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NONA – TITULARIDADE DE BENS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 Os bens permanentes adquiridos, produzidos ou transformados em decorrência da execução da parceria serão de titularidade em regra, da ADMINISTRAÇÃO PÚBLICA, inclusive quanto aos produtos de Comunicação e TI - Tecnologia da Informação, tais como software, plataforma digital, aplicativos, entre outros; equipamento técnico de vídeo, áudio e audiovisual; materiais produzidos no âmbito do Plano de Comunicação e Divulgação; bem como materiais pertinentes à ambientação, cenografia e estruturas. Cabendo à Administração Pública decidir pela transferência ou não de bens de caráter permanente, em caso de interesse público, para a OSC Celebrante.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9.1.1 Não se consideram bens permanentes aqueles que se destinam ao consumo.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Os bens permanentes não poderão ser alienados, ressalvadas as previsões específicas deste instrumento sobre os bens inservíveis e sobre as situações posteriores ao término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 Sobre os bens permanentes de titularidade da ORGANIZAÇÃO DA SOCIEDADE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9.3.1 A existência de interesse público na definição de titularidade dos bens para a ORGANIZAÇÃO DA SOCIEDADE CIVIL consiste em: na prática da produção cultural, é corriqueiro que os produtores verifiquem que a aquisição de determinados bens (insumos, materiais necessários à atividade cultural) é mais vantajosa economicamente do que a locação. Isso ocorre porque muitos desses bens têm uso bastante restrito ao mundo cultural, com demanda baixa de locação pela sociedade em geral, o que faz com que não haja muitos fornecedores estabelecidos que vislumbrem potencial lucrativo nessa atividade. Nesses casos, atende ao princípio da economicidade que a administração possa autorizar que a OSC faça a aquisição dos bens no curso da parceria, já determinando que, ao final da execução, o bem deverá ser doado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entidade terceira que reconhecidamente exerce atividade de democratização do acesso à cultura, em especial em áreas de vulnerabilidade econômico-social do DF.</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9.3.2 Caso os bens da ORGANIZAÇÃO DA SOCIEDADE CIVIL se tornem inservíveis antes do término da parceria, poderão ser doados ou inutilizados, mediante comunicação à administração pública distrital.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9.3.3 Caso haja rejeição de contas cuja motivação esteja relacionada ao uso ou aquisição do bem de titularidade da ORGANIZAÇÃO DA SOCIEDADE CIVIL, ele permanecerá como sua propriedade, mas o valor pelo qual foi adquirido será computado no cálculo do dano ao erário, com atualização monetária.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9.4 Sobre os bens permanentes de titularidade da ADMINISTRAÇÃO PÚBLICA: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9.4.1 Caso os bens da ADMINISTRAÇÃO PÚBLICA se </w:t>
      </w:r>
      <w:proofErr w:type="gramStart"/>
      <w:r>
        <w:rPr>
          <w:rFonts w:ascii="Calibri" w:hAnsi="Calibri" w:cs="Calibri"/>
          <w:color w:val="000000"/>
          <w:sz w:val="27"/>
          <w:szCs w:val="27"/>
        </w:rPr>
        <w:t>tornem</w:t>
      </w:r>
      <w:proofErr w:type="gramEnd"/>
      <w:r>
        <w:rPr>
          <w:rFonts w:ascii="Calibri" w:hAnsi="Calibri" w:cs="Calibri"/>
          <w:color w:val="000000"/>
          <w:sz w:val="27"/>
          <w:szCs w:val="27"/>
        </w:rPr>
        <w:t xml:space="preserve"> inservíveis antes do término da parceria, a ORGANIZAÇÃO DA SOCIEDADE CIVIL solicitará orientação sobre quais providências deve tomar, tendo em vista a legislação de administração patrimonial de bens públicos.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9.4.2 Após o término da parceria, a ADMINISTRAÇÃO PÚBLICA decidirá por uma das seguintes hipóteses: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 manutenção dos bens em sua propriedade, 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até a retirada pela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ADMINISTRAÇÃO PÚBLICA, que deverá ocorrer no prazo de 90 (noventa) dias após o término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A doação dos bens à ORGANIZAÇÃO DA SOCIEDADE CIVIL, caso não sejam necessários para assegurar a continuidade do objeto pactuado por execução direta ou por celebração de nova parceria com outra entidade, </w:t>
      </w:r>
      <w:r>
        <w:rPr>
          <w:rFonts w:ascii="Calibri" w:hAnsi="Calibri" w:cs="Calibri"/>
          <w:color w:val="000000"/>
          <w:sz w:val="27"/>
          <w:szCs w:val="27"/>
        </w:rPr>
        <w:lastRenderedPageBreak/>
        <w:t xml:space="preserve">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ou</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A doação dos bens a terceiros, desde que para fins de interesse social, permanecendo a custódia </w:t>
      </w:r>
      <w:proofErr w:type="gramStart"/>
      <w:r>
        <w:rPr>
          <w:rFonts w:ascii="Calibri" w:hAnsi="Calibri" w:cs="Calibri"/>
          <w:color w:val="000000"/>
          <w:sz w:val="27"/>
          <w:szCs w:val="27"/>
        </w:rPr>
        <w:t>sob responsabilidade</w:t>
      </w:r>
      <w:proofErr w:type="gramEnd"/>
      <w:r>
        <w:rPr>
          <w:rFonts w:ascii="Calibri" w:hAnsi="Calibri" w:cs="Calibri"/>
          <w:color w:val="000000"/>
          <w:sz w:val="27"/>
          <w:szCs w:val="27"/>
        </w:rPr>
        <w:t xml:space="preserve"> da ORGANIZAÇÃO DA SOCIEDADE CIVIL parceira até sua retirada, que deverá acontecer até 60 (sessenta) dias após a edição do ato da doação.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 DIREITOS INTELECTUAIS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frua e disponha dos bens submetidos a regime de propriedade intelectual que eventualmente decorrerem da execução desta parceria, da seguinte forma: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10.1.1 Quanto aos direitos de que trata a Lei Nacional no 9.279/1996, pelo uso de produto objeto de patente, processo ou produto obtido diretamente por processo patenteado, desenho industrial, indicação geográfica e marcas;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10.1.2 Quanto aos direitos de que trata a Lei Nacional no 9.610/1998, pelas seguintes modalidades: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 reprodução parcial ou integral;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a adaptação;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a tradução para qualquer idioma;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a inclusão em fonograma ou produção audiovisual;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 -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exposição de obras de artes plásticas e figurativas;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VII - a inclusão em base de dados, o armazenamento em computador, a microfilmagem e as demais formas de arquivamento do gênero;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10.1.3 Quanto aos direitos de que trata a Lei Nacional nº 9.456/1997, pela utilização da cultivar.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PRIMEIRA – GESTOR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Os agentes públicos responsáveis pela gestão da parceria de que trata este instrumento, com poderes de controle e fiscalização, constituem uma Comissão de Gestão da Parceria, devido à constatação da complexidade do objeto e do valor da parceria ser superior a R$ 200 MIL. Sua designação consta de ato publicado no Diário Oficial do Distrito Federal, no prazo legal, sendo: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Titulares</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matrícula nº CPF nº ; , Servidor Efetivo, Matrícula nº , CPF nº ;</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Suplentes</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Matrícula nº , CPF n º ; , matrícula nº , CPF nº .</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SEGUNDA – MONITORAMENTO E AVALIAÇÃO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 A sistemática de monitoramento e avaliação desta parceria funcionará mediante designação da Comissão de Monitoramento e Avaliação, formada pelos agentes públicos</w:t>
      </w:r>
      <w:proofErr w:type="gramStart"/>
      <w:r>
        <w:rPr>
          <w:rFonts w:ascii="Calibri" w:hAnsi="Calibri" w:cs="Calibri"/>
          <w:color w:val="000000"/>
          <w:sz w:val="27"/>
          <w:szCs w:val="27"/>
        </w:rPr>
        <w:t>: ,</w:t>
      </w:r>
      <w:proofErr w:type="gramEnd"/>
      <w:r>
        <w:rPr>
          <w:rFonts w:ascii="Calibri" w:hAnsi="Calibri" w:cs="Calibri"/>
          <w:color w:val="000000"/>
          <w:sz w:val="27"/>
          <w:szCs w:val="27"/>
        </w:rPr>
        <w:t>matrícula nº , como Presidente; , matrícula nº , como Presidente Substituto e , matrícula nº -, como membro: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12.1.1 As ações de monitoramento e avaliação poderão utilizar ferramentas tecnológicas, tais como redes sociais na internet, aplicativos e outros mecanismos que permitam verificar os resultados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12.2 A Comissão de Monitoramento e Avaliação, designada na Portaria </w:t>
      </w:r>
      <w:proofErr w:type="gramStart"/>
      <w:r>
        <w:rPr>
          <w:rFonts w:ascii="Calibri" w:hAnsi="Calibri" w:cs="Calibri"/>
          <w:color w:val="000000"/>
          <w:sz w:val="27"/>
          <w:szCs w:val="27"/>
        </w:rPr>
        <w:t>nº ,</w:t>
      </w:r>
      <w:proofErr w:type="gramEnd"/>
      <w:r>
        <w:rPr>
          <w:rFonts w:ascii="Calibri" w:hAnsi="Calibri" w:cs="Calibri"/>
          <w:color w:val="000000"/>
          <w:sz w:val="27"/>
          <w:szCs w:val="27"/>
        </w:rPr>
        <w:t xml:space="preserve"> de / /2022, publicada no Diário Oficial do Distrito Federal nº , de / /2022, atuará em caráter preventivo e saneador, visando o aprimoramento dos procedimentos, a padronização e a priorização do controle de resultados.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12.3 Caso considere necessário, a ADMINISTRAÇÃO PÚBLICA poderá promover visita técnica </w:t>
      </w:r>
      <w:r>
        <w:rPr>
          <w:rStyle w:val="nfase"/>
          <w:rFonts w:ascii="Calibri" w:hAnsi="Calibri" w:cs="Calibri"/>
          <w:color w:val="000000"/>
          <w:sz w:val="27"/>
          <w:szCs w:val="27"/>
        </w:rPr>
        <w:t>in loco </w:t>
      </w:r>
      <w:r>
        <w:rPr>
          <w:rFonts w:ascii="Calibri" w:hAnsi="Calibri" w:cs="Calibri"/>
          <w:color w:val="000000"/>
          <w:sz w:val="27"/>
          <w:szCs w:val="27"/>
        </w:rPr>
        <w:t>para subsidiar o monitoramento da parceria, podendo notificar a organização da sociedade civil com antecedência em relação à data da visita;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12.4 A Comissão de Monitoramento e Avaliação homologará até </w:t>
      </w:r>
      <w:proofErr w:type="spellStart"/>
      <w:r>
        <w:rPr>
          <w:rFonts w:ascii="Calibri" w:hAnsi="Calibri" w:cs="Calibri"/>
          <w:color w:val="000000"/>
          <w:sz w:val="27"/>
          <w:szCs w:val="27"/>
        </w:rPr>
        <w:t>xx</w:t>
      </w:r>
      <w:proofErr w:type="spellEnd"/>
      <w:r>
        <w:rPr>
          <w:rFonts w:ascii="Calibri" w:hAnsi="Calibri" w:cs="Calibri"/>
          <w:color w:val="000000"/>
          <w:sz w:val="27"/>
          <w:szCs w:val="27"/>
        </w:rPr>
        <w:t xml:space="preserve"> de </w:t>
      </w:r>
      <w:proofErr w:type="spellStart"/>
      <w:r>
        <w:rPr>
          <w:rFonts w:ascii="Calibri" w:hAnsi="Calibri" w:cs="Calibri"/>
          <w:color w:val="000000"/>
          <w:sz w:val="27"/>
          <w:szCs w:val="27"/>
        </w:rPr>
        <w:t>xx</w:t>
      </w:r>
      <w:proofErr w:type="spellEnd"/>
      <w:r>
        <w:rPr>
          <w:rFonts w:ascii="Calibri" w:hAnsi="Calibri" w:cs="Calibri"/>
          <w:color w:val="000000"/>
          <w:sz w:val="27"/>
          <w:szCs w:val="27"/>
        </w:rPr>
        <w:t xml:space="preserve"> de </w:t>
      </w:r>
      <w:proofErr w:type="spellStart"/>
      <w:r>
        <w:rPr>
          <w:rFonts w:ascii="Calibri" w:hAnsi="Calibri" w:cs="Calibri"/>
          <w:color w:val="000000"/>
          <w:sz w:val="27"/>
          <w:szCs w:val="27"/>
        </w:rPr>
        <w:t>xxxx</w:t>
      </w:r>
      <w:proofErr w:type="spellEnd"/>
      <w:r>
        <w:rPr>
          <w:rFonts w:ascii="Calibri" w:hAnsi="Calibri" w:cs="Calibri"/>
          <w:color w:val="000000"/>
          <w:sz w:val="27"/>
          <w:szCs w:val="27"/>
        </w:rPr>
        <w:t xml:space="preserve"> o relatório técnico de monitoramento e avaliação emitido pelo gestor da parceria, que conterá:</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descrição sumária do objeto e análise das atividades realizadas, com foco no cumprimento das metas e no benefício social da execução do objeto;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valores transferidos pela administração pública distrital;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 seção sobre análise de prestação de contas anual, caso a execução da parceria ultrapasse um ano e as ações de monitoramento já tiverem permitido a verificação de que houve descumprimento injustificado quanto ao objeto;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seção sobre achados de auditoria e respectivas medidas saneadoras, caso haja auditorias pelos órgãos de controle interno ou </w:t>
      </w:r>
      <w:proofErr w:type="gramStart"/>
      <w:r>
        <w:rPr>
          <w:rFonts w:ascii="Calibri" w:hAnsi="Calibri" w:cs="Calibri"/>
          <w:color w:val="000000"/>
          <w:sz w:val="27"/>
          <w:szCs w:val="27"/>
        </w:rPr>
        <w:t>externo voltadas</w:t>
      </w:r>
      <w:proofErr w:type="gramEnd"/>
      <w:r>
        <w:rPr>
          <w:rFonts w:ascii="Calibri" w:hAnsi="Calibri" w:cs="Calibri"/>
          <w:color w:val="000000"/>
          <w:sz w:val="27"/>
          <w:szCs w:val="27"/>
        </w:rPr>
        <w:t xml:space="preserve"> a esta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TERCEIRA – ATUAÇÃO EM REDE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13.1 Não </w:t>
      </w:r>
      <w:proofErr w:type="gramStart"/>
      <w:r>
        <w:rPr>
          <w:rFonts w:ascii="Calibri" w:hAnsi="Calibri" w:cs="Calibri"/>
          <w:color w:val="000000"/>
          <w:sz w:val="27"/>
          <w:szCs w:val="27"/>
        </w:rPr>
        <w:t>será</w:t>
      </w:r>
      <w:proofErr w:type="gramEnd"/>
      <w:r>
        <w:rPr>
          <w:rFonts w:ascii="Calibri" w:hAnsi="Calibri" w:cs="Calibri"/>
          <w:color w:val="000000"/>
          <w:sz w:val="27"/>
          <w:szCs w:val="27"/>
        </w:rPr>
        <w:t xml:space="preserve"> possível a execução da parceria pela sistemática de atuação em rede prevista na Lei nº 13.019/2014.</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QUARTA – PRESTAÇÃO DE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 A prestação de contas será um procedimento de acompanhamento sistemático da parceria, voltado à demonstração e verificação do cumprimento de metas e resultados, que observará o disposto na Lei nº 13.019/2014, em seu regulamento e na Portaria nº 21, de 23 de janeiro de 2020;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14.2 A prestação de contas final consistirá na apresentação pela organização da sociedade civil do relatório de execução do objeto, no prazo de </w:t>
      </w:r>
      <w:proofErr w:type="gramStart"/>
      <w:r>
        <w:rPr>
          <w:rFonts w:ascii="Calibri" w:hAnsi="Calibri" w:cs="Calibri"/>
          <w:color w:val="000000"/>
          <w:sz w:val="27"/>
          <w:szCs w:val="27"/>
        </w:rPr>
        <w:t>90 (noventa) dias após o término da vigência da parceria, prorrogável</w:t>
      </w:r>
      <w:proofErr w:type="gramEnd"/>
      <w:r>
        <w:rPr>
          <w:rFonts w:ascii="Calibri" w:hAnsi="Calibri" w:cs="Calibri"/>
          <w:color w:val="000000"/>
          <w:sz w:val="27"/>
          <w:szCs w:val="27"/>
        </w:rPr>
        <w:t xml:space="preserve"> por até 30 (trinta) dias mediante solicitação justificada.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14.2.1 O relatório de execução do objeto deverá conter: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descrição das ações desenvolvidas para o cumprimento do objeto, para demonstrar o alcance das metas e dos resultados esperados;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comprovação do cumprimento do objeto, por documentos como listas de presença, fotos, depoimentos, vídeos e outros suportes;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comprovação do cumprimento da contrapartida, quando houver essa exigência;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documentos sobre o grau de satisfação do público alvo, que poderão consistir em resultado de pesquisa de satisfação realizada no curso da parceria ou outros documentos, tais como declaração de entidade pública ou privada local, ou manifestação do conselho setorial.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 O parecer técnico da ADMINISTRAÇÃO PÚBLICA sobre o relatório de execução do objeto, considerando o teor do relatório técnico de monitoramento e avaliação, consistirá na verificação do cumprimento do objeto, podendo o gestor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concluir que houve cumprimento integral do objeto ou cumprimento parcial com justificativa suficiente quanto às metas não alcançadas; ou - </w:t>
      </w:r>
      <w:r>
        <w:rPr>
          <w:rFonts w:ascii="Calibri" w:hAnsi="Calibri" w:cs="Calibri"/>
          <w:color w:val="000000"/>
          <w:sz w:val="27"/>
          <w:szCs w:val="27"/>
        </w:rPr>
        <w:lastRenderedPageBreak/>
        <w:t>concluir que o objeto não foi cumprido e que não há justificativa suficiente para que as metas não tenham sido alcançadas, o que implicará emissão de parecer técnico preliminar indicando glosa dos valores relacionados a metas descumpridas sem justificativa suficiente.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14.3.1 Caso haja a conclusão de que o objeto não foi cumprido ou caso haja indícios de irregularidades que possam ter gerado dano ao erário,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organização da sociedade civil será notificada para apresentar em até 90 (noventa) dias relatório de execução financeira, que conterá:</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relação das despesas e receitas realizadas, inclusive rendimentos financeiros, que possibilitem a comprovação da observância do Plano de Trabalho;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relação de bens adquiridos, produzidos ou transformados, quando houver;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comprovante de devolução do saldo remanescente da conta bancária específica, quando houver, salvo quando já disponível na plataforma eletrônica de processamento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extrato da conta bancária específica, salvo quando já disponível na plataforma eletrônica de processamento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cópia simples das notas e dos comprovantes fiscais ou recibos, com data, valor, dados da ORGANIZAÇÃO DA SOCIEDADE CIVIL e do fornecedor, além da indicação do produto ou serviço;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memória de cálculo do rateio das despesas, nos casos em que algum item do Plano de Trabalho for pago proporcionalmente com recursos da parceria, para demonstrar que não houve duplicidade ou sobreposição de fontes de recursos no custeio de um mesmo item.</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14.3.2 Com fins de diagnóstico, para que a ADMINISTRAÇÃO PÚBLICA conheça a realidade contemplada pela parceria, o parecer técnico abordará os impactos econômicos ou sociais das ações, o grau de satisfação do público-alvo e a possibilidade de sustentabilidade das ações.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14.4 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w:t>
      </w:r>
      <w:proofErr w:type="gramStart"/>
      <w:r>
        <w:rPr>
          <w:rFonts w:ascii="Calibri" w:hAnsi="Calibri" w:cs="Calibri"/>
          <w:color w:val="000000"/>
          <w:sz w:val="27"/>
          <w:szCs w:val="27"/>
        </w:rPr>
        <w:t>a</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conciliação</w:t>
      </w:r>
      <w:proofErr w:type="gramEnd"/>
      <w:r>
        <w:rPr>
          <w:rFonts w:ascii="Calibri" w:hAnsi="Calibri" w:cs="Calibri"/>
          <w:color w:val="000000"/>
          <w:sz w:val="27"/>
          <w:szCs w:val="27"/>
        </w:rPr>
        <w:t xml:space="preserve"> bancária, por meio da correlação entre as despesas da relação de pagamentos e os débitos na conta.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 A análise da prestação de contas final ocorrerá no prazo de 150 (cento e cinquenta) dias, contado da data de apresentação: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 do relatório de execução do objeto, quando não for necessária a apresentação de relatório de execução financeira; </w:t>
      </w:r>
      <w:proofErr w:type="gramStart"/>
      <w:r>
        <w:rPr>
          <w:rFonts w:ascii="Calibri" w:hAnsi="Calibri" w:cs="Calibri"/>
          <w:color w:val="000000"/>
          <w:sz w:val="27"/>
          <w:szCs w:val="27"/>
        </w:rPr>
        <w:t>ou</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do relatório de execução financeira, quando houver.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14.5.1 O prazo poderá ser prorrogado por igual período, mediante decisão motivada.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14.5.2 O transcurso do prazo sem que as contas tenham sido apreciadas não impede que a organização da sociedade civil participe de chamamentos públicos ou celebre novas parcerias, nem implica impossibilidade de sua apreciação em data posterior ou vedação a que se adotem medidas saneadoras, punitivas ou designadas ao ressarcimento do erário.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14.6 O julgamento final das contas, realizado pela autoridade que celebrou a parceria ou agente público a ela diretamente subordinado, considerará o conjunto de documentos sobre a execução e o monitoramento da parceria, bem como o parecer técnico conclusivo.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14.7 A decisão final de julgamento das contas será de aprovação das contas, aprovação das contas com ressalvas ou rejeição das contas, com instauração da tomada de contas especial.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14.7.1 A aprovação das contas com ressalvas ocorrerá quando, apesar de cumpridos os objetivos e metas de parceria, </w:t>
      </w:r>
      <w:proofErr w:type="gramStart"/>
      <w:r>
        <w:rPr>
          <w:rFonts w:ascii="Calibri" w:hAnsi="Calibri" w:cs="Calibri"/>
          <w:color w:val="000000"/>
          <w:sz w:val="27"/>
          <w:szCs w:val="27"/>
        </w:rPr>
        <w:t>for constatada</w:t>
      </w:r>
      <w:proofErr w:type="gramEnd"/>
      <w:r>
        <w:rPr>
          <w:rFonts w:ascii="Calibri" w:hAnsi="Calibri" w:cs="Calibri"/>
          <w:color w:val="000000"/>
          <w:sz w:val="27"/>
          <w:szCs w:val="27"/>
        </w:rPr>
        <w:t xml:space="preserve"> impropriedade ou qualquer outra falta que não resulte em dano ao erário.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14.7.2 A rejeição das contas ocorrerá quando comprovada omissão no dever de prestar contas; descumprimento injustificado do objeto da parceria; dano ao erário decorrente de ato de gestão ilegítimo ou antieconômico; ou desfalque ou desvio de dinheiro, bens ou valores públicos.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14.8 A organização da sociedade civil poderá apresentar recurso administrativo no prazo de 15 (quinze) dias após sua notificação quanto à decisão final de julgamento das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14.8.1 O recurso será dirigido à autoridade que proferiu a decisão, a qual, se não a reconsiderar no prazo de </w:t>
      </w:r>
      <w:proofErr w:type="gramStart"/>
      <w:r>
        <w:rPr>
          <w:rFonts w:ascii="Calibri" w:hAnsi="Calibri" w:cs="Calibri"/>
          <w:color w:val="000000"/>
          <w:sz w:val="27"/>
          <w:szCs w:val="27"/>
        </w:rPr>
        <w:t>5</w:t>
      </w:r>
      <w:proofErr w:type="gramEnd"/>
      <w:r>
        <w:rPr>
          <w:rFonts w:ascii="Calibri" w:hAnsi="Calibri" w:cs="Calibri"/>
          <w:color w:val="000000"/>
          <w:sz w:val="27"/>
          <w:szCs w:val="27"/>
        </w:rPr>
        <w:t xml:space="preserve"> (cinco) dias, encaminhará o recurso à autoridade superior.</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14.9 Exaurida</w:t>
      </w:r>
      <w:proofErr w:type="gramEnd"/>
      <w:r>
        <w:rPr>
          <w:rFonts w:ascii="Calibri" w:hAnsi="Calibri" w:cs="Calibri"/>
          <w:color w:val="000000"/>
          <w:sz w:val="27"/>
          <w:szCs w:val="27"/>
        </w:rPr>
        <w:t xml:space="preserve"> a fase recursal, no caso de aprovação com ressalvas, a ADMINISTRAÇÃO PÚBLICA providenciará o registro na plataforma eletrônica das causas das ressalvas, que terá caráter educativo e preventivo, podendo ser considerado na eventual aplicação de sanções.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lastRenderedPageBreak/>
        <w:t>14.10 Exaurida</w:t>
      </w:r>
      <w:proofErr w:type="gramEnd"/>
      <w:r>
        <w:rPr>
          <w:rFonts w:ascii="Calibri" w:hAnsi="Calibri" w:cs="Calibri"/>
          <w:color w:val="000000"/>
          <w:sz w:val="27"/>
          <w:szCs w:val="27"/>
        </w:rPr>
        <w:t xml:space="preserve"> a fase recursal, no caso de rejeição das contas, a ADMINISTRAÇÃO PÚBLICA deverá notificar a organização da sociedade civil para que: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devolva os recursos de forma integral ou parcelada, nos termos da Lei Distrital Complementar nº 833/2011, sob pena de instauração de tomada de contas especial e registro no Sistema Integrado de Gestão Governamental - SIGGO e em plataforma eletrônica, enquanto perdurarem os motivos determinantes da rejeição; </w:t>
      </w:r>
      <w:proofErr w:type="gramStart"/>
      <w:r>
        <w:rPr>
          <w:rFonts w:ascii="Calibri" w:hAnsi="Calibri" w:cs="Calibri"/>
          <w:color w:val="000000"/>
          <w:sz w:val="27"/>
          <w:szCs w:val="27"/>
        </w:rPr>
        <w:t>ou</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solicite o ressarcimento ao erário por meio de ações compensatórias de relevante interesse social, mediante </w:t>
      </w:r>
      <w:proofErr w:type="gramStart"/>
      <w:r>
        <w:rPr>
          <w:rFonts w:ascii="Calibri" w:hAnsi="Calibri" w:cs="Calibri"/>
          <w:color w:val="000000"/>
          <w:sz w:val="27"/>
          <w:szCs w:val="27"/>
        </w:rPr>
        <w:t>a apresentação de novo Plano de Trabalho</w:t>
      </w:r>
      <w:proofErr w:type="gramEnd"/>
      <w:r>
        <w:rPr>
          <w:rFonts w:ascii="Calibri" w:hAnsi="Calibri" w:cs="Calibri"/>
          <w:color w:val="000000"/>
          <w:sz w:val="27"/>
          <w:szCs w:val="27"/>
        </w:rPr>
        <w:t xml:space="preserve"> com prazo não superior a metade do prazo original de execução da parceria, desde que a decisão final não tenha sido pela devolução integral dos recursos e que não tenha sido apontada a existência de dolo ou fraude;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 Os débitos serão apurados mediante atualização monetária, observado o Índice Nacional de Preços ao Consumidor Amplo – IPCA, calculado pela Fundação Instituto Brasileiro de Geografia e Estatística – IBGE, acrescidos de juros de mora calculados nos termos do Código Civil;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14.11.1 Nos casos em que for comprovado dolo da organização da sociedade civil ou de seus prepostos, os juros serão calculados a partir das datas de liberação </w:t>
      </w:r>
      <w:proofErr w:type="gramStart"/>
      <w:r>
        <w:rPr>
          <w:rFonts w:ascii="Calibri" w:hAnsi="Calibri" w:cs="Calibri"/>
          <w:color w:val="000000"/>
          <w:sz w:val="27"/>
          <w:szCs w:val="27"/>
        </w:rPr>
        <w:t>dos</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recursos</w:t>
      </w:r>
      <w:proofErr w:type="gramEnd"/>
      <w:r>
        <w:rPr>
          <w:rFonts w:ascii="Calibri" w:hAnsi="Calibri" w:cs="Calibri"/>
          <w:color w:val="000000"/>
          <w:sz w:val="27"/>
          <w:szCs w:val="27"/>
        </w:rPr>
        <w:t>, sem subtração de eventual período de inércia da ADMINISTRAÇÃO PÚBLICA quanto ao prazo de análise de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14.11.2 Nos demais casos, os juros serão calculados a partir da data de término da parceria, com subtração de eventual período de inércia da ADMINISTRAÇÃO PÚBLICA quanto ao prazo de análise das contas;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 Caso a execução da parceria ultrapasse um ano, a ORGANIZAÇÃO DA SOCIEDADE CIVIL providenciará prestação de contas anual por meio da apresentação de relatório parcial de execução do objeto, que observará o disposto na Lei nº 13.019/2014, em seu regulamento e as seguintes exigências da Portaria nº 21, de 23 de janeiro de 2020;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14.12.1 Caso haja a conclusão de que o objeto não foi cumprido quanto ao que se esperava no período de que trata o relatório ou caso haja indícios de irregularidades que possam ter gerado dano ao erário, </w:t>
      </w:r>
      <w:proofErr w:type="gramStart"/>
      <w:r>
        <w:rPr>
          <w:rFonts w:ascii="Calibri" w:hAnsi="Calibri" w:cs="Calibri"/>
          <w:color w:val="000000"/>
          <w:sz w:val="27"/>
          <w:szCs w:val="27"/>
        </w:rPr>
        <w:t>a</w:t>
      </w:r>
      <w:proofErr w:type="gramEnd"/>
      <w:r>
        <w:rPr>
          <w:rFonts w:ascii="Calibri" w:hAnsi="Calibri" w:cs="Calibri"/>
          <w:color w:val="000000"/>
          <w:sz w:val="27"/>
          <w:szCs w:val="27"/>
        </w:rPr>
        <w:t xml:space="preserve"> organização da sociedade civil será notificada para apresentar relatório parcial de execução financeira;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14.12.2 A análise da prestação de contas anual será realizada conforme procedimentos definidos no Decreto Distrital nº 37.843, de 13/12/2016 e na Portaria nº 21, de 23 de janeiro de 2020;</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lastRenderedPageBreak/>
        <w:t>CLÁUSULA DÉCIMA QUINTA – SANÇÕES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15.1 A execução da parceria em desacordo com o Plano de Trabalho, com este instrumento, com o disposto na Lei Nacional nº 13.019/2014, no seu Regulamento ou nas disposições normativas aplicáveis pode ensejar aplicação à ORGANIZAÇÃO DA SOCIEDADE CIVIL, garantida prévia defesa, das seguintes sanções: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advertência;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suspensão temporária da participação em chamamento público e impedimento de celebrar parceria ou contrato com órgãos e entidades da esfera de governo da administração pública sancionadora, por prazo não superior a dois anos; </w:t>
      </w:r>
      <w:proofErr w:type="gramStart"/>
      <w:r>
        <w:rPr>
          <w:rFonts w:ascii="Calibri" w:hAnsi="Calibri" w:cs="Calibri"/>
          <w:color w:val="000000"/>
          <w:sz w:val="27"/>
          <w:szCs w:val="27"/>
        </w:rPr>
        <w:t>ou</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declaração de inidoneidade para participar de chamamento público ou celebrar parceria ou contrato com órgãos e entidades de todas as esferas de governo.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15.2 </w:t>
      </w:r>
      <w:proofErr w:type="gramStart"/>
      <w:r>
        <w:rPr>
          <w:rFonts w:ascii="Calibri" w:hAnsi="Calibri" w:cs="Calibri"/>
          <w:color w:val="000000"/>
          <w:sz w:val="27"/>
          <w:szCs w:val="27"/>
        </w:rPr>
        <w:t>É</w:t>
      </w:r>
      <w:proofErr w:type="gramEnd"/>
      <w:r>
        <w:rPr>
          <w:rFonts w:ascii="Calibri" w:hAnsi="Calibri" w:cs="Calibri"/>
          <w:color w:val="000000"/>
          <w:sz w:val="27"/>
          <w:szCs w:val="27"/>
        </w:rPr>
        <w:t xml:space="preserve"> facultada a defesa do interessado antes de aplicação da sanção, no prazo de dez dias a contar do recebimento de notificação com essa finalidade.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15.3 A sanção de advertência tem caráter educativo e preventivo e será aplicada quando verificadas irregularidades que não justifiquem a aplicação de penalidade mais severa.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15.4 A sanção de suspensão temporária deverá ser aplicada nos casos em que verificada fraude na celebração, na execução ou na prestação de contas da parceria, quando não se justificar imposição da penalidade mais severa, considerando a natureza e a gravidade da infração, as peculiaridades do caso concreto, as circunstâncias agravantes ou atenuantes e os danos.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15.5 As sanções de suspensão temporária e de declaração de inidoneidade são de competência exclusiva do SECRETÁRIO DE ESTADO DE CULTURA E ECONOMIA CRIATIVA DO DISTRITO FEDERAL.</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15.6 Da decisão administrativa sancionadora </w:t>
      </w:r>
      <w:proofErr w:type="gramStart"/>
      <w:r>
        <w:rPr>
          <w:rFonts w:ascii="Calibri" w:hAnsi="Calibri" w:cs="Calibri"/>
          <w:color w:val="000000"/>
          <w:sz w:val="27"/>
          <w:szCs w:val="27"/>
        </w:rPr>
        <w:t>cabe</w:t>
      </w:r>
      <w:proofErr w:type="gramEnd"/>
      <w:r>
        <w:rPr>
          <w:rFonts w:ascii="Calibri" w:hAnsi="Calibri" w:cs="Calibri"/>
          <w:color w:val="000000"/>
          <w:sz w:val="27"/>
          <w:szCs w:val="27"/>
        </w:rPr>
        <w:t xml:space="preserve"> recurso administrativo, no prazo de dez dias, contado da data de ciência da decisão, podendo a reabilitação ser requerida após dois anos da aplicação da penalidade.</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15.6.1 No caso da sanção de suspensão temporária ou de declaração de inidoneidade, o recurso cabível é o pedido de reconsideração.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15.7 Na hipótese de aplicação de sanção de suspensão temporária ou de declaração de inidoneidade, o impedimento da ORGANIZAÇÃO DA SOCIEDADE CIVIL deverá ser lançado no Sistema Integrado de Gestão Governamental – SIGGO.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15.8 A situação de impedimento permanecerá enquanto perdurarem os motivos determinantes da punição ou até que seja providenciada a reabilitação perante a ADMINISTRAÇÃO PÚBLICA, devendo ser concedida quando houver ressarcimento dos danos, desde que decorrido o prazo de dois anos.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SEXTA – RESCISÃO E DENÚNCIA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 Este instrumento poderá ser denunciado ou rescindido, devendo o outro participe ser comunicada dessa intenção no prazo mínimo de 60 (sessenta) dias, observado o seguinte procedimento: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comunicação por ofício da intenção justificada de rescisão do instrumento de parceria no prazo mínimo de 60 dias;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manifestação da outra parte, no prazo de 15 (quinze) dias;</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decisão final do Secretário de Cultura e Economia Criativa; </w:t>
      </w:r>
      <w:proofErr w:type="gramStart"/>
      <w:r>
        <w:rPr>
          <w:rFonts w:ascii="Calibri" w:hAnsi="Calibri" w:cs="Calibri"/>
          <w:color w:val="000000"/>
          <w:sz w:val="27"/>
          <w:szCs w:val="27"/>
        </w:rPr>
        <w:t>e</w:t>
      </w:r>
      <w:proofErr w:type="gramEnd"/>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publicação no Diário Oficial e nas páginas eletrônicas da Secretaria de Cultura e Economia Criativa e da OSC.</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16.1.1 A eventual obrigatoriedade de devolução de recursos deve ser verificada conforme as peculiaridades do caso concreto.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Os partícipes são responsáveis somente pelas obrigações do período em que efetivamente vigorou 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16.3 A ADMINISTRAÇÃO PÚBLICA poderá rescindir unilateralmente este instrumento quando houver inexecução do objeto ou o descumprimento do disposto na Lei nº </w:t>
      </w:r>
      <w:proofErr w:type="gramStart"/>
      <w:r>
        <w:rPr>
          <w:rFonts w:ascii="Calibri" w:hAnsi="Calibri" w:cs="Calibri"/>
          <w:color w:val="000000"/>
          <w:sz w:val="27"/>
          <w:szCs w:val="27"/>
        </w:rPr>
        <w:t>13.019/2014, no Decreto Distrital nº</w:t>
      </w:r>
      <w:proofErr w:type="gramEnd"/>
      <w:r>
        <w:rPr>
          <w:rFonts w:ascii="Calibri" w:hAnsi="Calibri" w:cs="Calibri"/>
          <w:color w:val="000000"/>
          <w:sz w:val="27"/>
          <w:szCs w:val="27"/>
        </w:rPr>
        <w:t xml:space="preserve"> 37.843, de 13/12/2016, ou na Portaria nº 21, de 23 de janeiro de 2020, que implicar prejuízo ao interesse público, garantida à OSC a oportunidade de defesa.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16.4 A rescisão enseja a imediata adoção das medidas cabíveis ao caso concreto, tais como a aplicação de sanções previstas neste instrumento, a notificação para devolução de recursos e a instauração de sindicância ou de processo administrativo disciplinar, conforme a peculiaridade dos fatos que causaram a necessidade de rescisão.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SÉTIMA – CUMPRIMENTO AO DECRETO DISTRITAL Nº 34.031/2012</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17.1 Havendo irregularidades neste instrumento</w:t>
      </w:r>
      <w:proofErr w:type="gramStart"/>
      <w:r>
        <w:rPr>
          <w:rFonts w:ascii="Calibri" w:hAnsi="Calibri" w:cs="Calibri"/>
          <w:color w:val="000000"/>
          <w:sz w:val="27"/>
          <w:szCs w:val="27"/>
        </w:rPr>
        <w:t>, entre</w:t>
      </w:r>
      <w:proofErr w:type="gramEnd"/>
      <w:r>
        <w:rPr>
          <w:rFonts w:ascii="Calibri" w:hAnsi="Calibri" w:cs="Calibri"/>
          <w:color w:val="000000"/>
          <w:sz w:val="27"/>
          <w:szCs w:val="27"/>
        </w:rPr>
        <w:t xml:space="preserve"> em contato com a Ouvidoria de Combate à Corrupção, no telefone 0800.6449060 (Decreto nº 34.031/2012).</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CLÁUSULA DÉCIMA OITAVA – FORO</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18.1 Nos casos em que não for possível solução administrativa em negociação de que participe o órgão de assessoramento jurídico da </w:t>
      </w:r>
      <w:r>
        <w:rPr>
          <w:rFonts w:ascii="Calibri" w:hAnsi="Calibri" w:cs="Calibri"/>
          <w:color w:val="000000"/>
          <w:sz w:val="27"/>
          <w:szCs w:val="27"/>
        </w:rPr>
        <w:lastRenderedPageBreak/>
        <w:t>administração pública, fica eleito o Foro de Brasília, Distrito Federal, para dirimir quaisquer dúvidas ou conflitos decorrentes da parceria.</w:t>
      </w:r>
    </w:p>
    <w:p w:rsid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p</w:t>
      </w:r>
      <w:proofErr w:type="gramEnd"/>
      <w:r>
        <w:rPr>
          <w:rFonts w:ascii="Calibri" w:hAnsi="Calibri" w:cs="Calibri"/>
          <w:color w:val="000000"/>
          <w:sz w:val="27"/>
          <w:szCs w:val="27"/>
        </w:rPr>
        <w:t>/SECRETARIA: </w:t>
      </w:r>
      <w:r>
        <w:rPr>
          <w:rStyle w:val="Forte"/>
          <w:rFonts w:ascii="Calibri" w:hAnsi="Calibri" w:cs="Calibri"/>
          <w:color w:val="000000"/>
          <w:sz w:val="27"/>
          <w:szCs w:val="27"/>
        </w:rPr>
        <w:t>BARTOLOMEU RODRIGUES DA SILVA</w:t>
      </w:r>
    </w:p>
    <w:p w:rsidR="00682979" w:rsidRPr="00B36594" w:rsidRDefault="00B36594" w:rsidP="00B36594">
      <w:pPr>
        <w:pStyle w:val="i02justificado12"/>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p/</w:t>
      </w:r>
      <w:proofErr w:type="gramEnd"/>
      <w:r>
        <w:rPr>
          <w:rFonts w:ascii="Calibri" w:hAnsi="Calibri" w:cs="Calibri"/>
          <w:color w:val="000000"/>
          <w:sz w:val="27"/>
          <w:szCs w:val="27"/>
        </w:rPr>
        <w:t xml:space="preserve"> ORGANIZAÇÃO DA SOCIEDADE CIVIL:</w:t>
      </w:r>
    </w:p>
    <w:sectPr w:rsidR="00682979" w:rsidRPr="00B36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94"/>
    <w:rsid w:val="00131920"/>
    <w:rsid w:val="00B36594"/>
    <w:rsid w:val="00BB3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36594"/>
    <w:rPr>
      <w:b/>
      <w:bCs/>
    </w:rPr>
  </w:style>
  <w:style w:type="paragraph" w:customStyle="1" w:styleId="i02justificado12">
    <w:name w:val="i02_justificado_12"/>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25ementaalinhadodireitarecuocentralizado">
    <w:name w:val="i25_ementa_alinhado_direita_recuo_centralizado"/>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365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36594"/>
    <w:rPr>
      <w:b/>
      <w:bCs/>
    </w:rPr>
  </w:style>
  <w:style w:type="paragraph" w:customStyle="1" w:styleId="i02justificado12">
    <w:name w:val="i02_justificado_12"/>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25ementaalinhadodireitarecuocentralizado">
    <w:name w:val="i25_ementa_alinhado_direita_recuo_centralizado"/>
    <w:basedOn w:val="Normal"/>
    <w:rsid w:val="00B365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36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6154</Words>
  <Characters>33233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Rangel Caldas</dc:creator>
  <cp:lastModifiedBy>Rafael Rangel Caldas</cp:lastModifiedBy>
  <cp:revision>1</cp:revision>
  <dcterms:created xsi:type="dcterms:W3CDTF">2022-06-02T19:03:00Z</dcterms:created>
  <dcterms:modified xsi:type="dcterms:W3CDTF">2022-06-02T19:04:00Z</dcterms:modified>
</cp:coreProperties>
</file>